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3CD" w:rsidRPr="006C6C2D" w:rsidRDefault="00BF154D">
      <w:pPr>
        <w:rPr>
          <w:u w:val="single"/>
        </w:rPr>
      </w:pPr>
      <w:r w:rsidRPr="006C6C2D">
        <w:rPr>
          <w:u w:val="single"/>
        </w:rPr>
        <w:t>Doku P22</w:t>
      </w:r>
    </w:p>
    <w:p w:rsidR="00334439" w:rsidRDefault="00334439"/>
    <w:p w:rsidR="009E1F5C" w:rsidRPr="003F457C" w:rsidRDefault="009E1F5C">
      <w:pPr>
        <w:rPr>
          <w:rFonts w:ascii="Source Sans Pro" w:hAnsi="Source Sans Pro"/>
        </w:rPr>
      </w:pPr>
      <w:r w:rsidRPr="003F457C">
        <w:rPr>
          <w:rFonts w:ascii="Source Sans Pro" w:hAnsi="Source Sans Pro"/>
        </w:rPr>
        <w:t xml:space="preserve">Welche Neuerungen bringt das Bundesteilhabegesetz (BTHG) für die Bedarfsermittlung und die Gesamt- und Teilhabeplanung mit sich? Was beinhaltet die </w:t>
      </w:r>
      <w:proofErr w:type="spellStart"/>
      <w:r w:rsidRPr="003F457C">
        <w:rPr>
          <w:rFonts w:ascii="Source Sans Pro" w:hAnsi="Source Sans Pro"/>
        </w:rPr>
        <w:t>Internationale</w:t>
      </w:r>
      <w:proofErr w:type="spellEnd"/>
      <w:r w:rsidRPr="003F457C">
        <w:rPr>
          <w:rFonts w:ascii="Source Sans Pro" w:hAnsi="Source Sans Pro"/>
        </w:rPr>
        <w:t xml:space="preserve"> Klassifikation der Funktionsfähigkeit, Behinderung und Gesundheit (ICF) und wie ist diese im Rahmen der Bedarfsermittlungsinstrumente anzuwenden? Mit diesen und weiteren Fragen beschäftigten sich die 50 Teilnehmenden der Vertiefungsveranstaltung zum Thema „Bedarfsermittlung und Leistun</w:t>
      </w:r>
      <w:r w:rsidR="00593AAD">
        <w:rPr>
          <w:rFonts w:ascii="Source Sans Pro" w:hAnsi="Source Sans Pro"/>
        </w:rPr>
        <w:t>gsplanung auf Grundlage der ICF“</w:t>
      </w:r>
      <w:r w:rsidRPr="003F457C">
        <w:rPr>
          <w:rFonts w:ascii="Source Sans Pro" w:hAnsi="Source Sans Pro"/>
        </w:rPr>
        <w:t xml:space="preserve"> vom 26. bis 28. Juni 2019 in Augsburg.</w:t>
      </w:r>
    </w:p>
    <w:p w:rsidR="008E5E49" w:rsidRPr="003F457C" w:rsidRDefault="003F457C">
      <w:pPr>
        <w:rPr>
          <w:rFonts w:ascii="Source Sans Pro" w:hAnsi="Source Sans Pro"/>
        </w:rPr>
      </w:pPr>
      <w:r w:rsidRPr="003F457C">
        <w:rPr>
          <w:rFonts w:ascii="Source Sans Pro" w:hAnsi="Source Sans Pro"/>
        </w:rPr>
        <w:t xml:space="preserve">Die </w:t>
      </w:r>
      <w:proofErr w:type="spellStart"/>
      <w:r w:rsidRPr="003F457C">
        <w:rPr>
          <w:rFonts w:ascii="Source Sans Pro" w:hAnsi="Source Sans Pro"/>
        </w:rPr>
        <w:t>Teilnehmerschaft</w:t>
      </w:r>
      <w:proofErr w:type="spellEnd"/>
      <w:r w:rsidRPr="003F457C">
        <w:rPr>
          <w:rFonts w:ascii="Source Sans Pro" w:hAnsi="Source Sans Pro"/>
        </w:rPr>
        <w:t xml:space="preserve"> setzte</w:t>
      </w:r>
      <w:r>
        <w:rPr>
          <w:rFonts w:ascii="Source Sans Pro" w:hAnsi="Source Sans Pro"/>
        </w:rPr>
        <w:t xml:space="preserve"> sich aus Träger</w:t>
      </w:r>
      <w:r w:rsidR="003F469A">
        <w:rPr>
          <w:rFonts w:ascii="Source Sans Pro" w:hAnsi="Source Sans Pro"/>
        </w:rPr>
        <w:t>n</w:t>
      </w:r>
      <w:r>
        <w:rPr>
          <w:rFonts w:ascii="Source Sans Pro" w:hAnsi="Source Sans Pro"/>
        </w:rPr>
        <w:t xml:space="preserve"> der Sozial- bzw. Eingliederungshilfe</w:t>
      </w:r>
      <w:r w:rsidR="003F469A">
        <w:rPr>
          <w:rFonts w:ascii="Source Sans Pro" w:hAnsi="Source Sans Pro"/>
        </w:rPr>
        <w:t xml:space="preserve">, weiteren Rehabilitationsträgern, Leistungserbringern, Organisationen von und für Menschen mit Behinderungen sowie Mitarbeiter/innen der EUTB aus dem gesamten Bundesgebiet zusammen. </w:t>
      </w:r>
      <w:r w:rsidR="00BC3109">
        <w:rPr>
          <w:rFonts w:ascii="Source Sans Pro" w:hAnsi="Source Sans Pro"/>
        </w:rPr>
        <w:t xml:space="preserve"> </w:t>
      </w:r>
      <w:r>
        <w:rPr>
          <w:rFonts w:ascii="Source Sans Pro" w:hAnsi="Source Sans Pro"/>
        </w:rPr>
        <w:t xml:space="preserve"> </w:t>
      </w:r>
    </w:p>
    <w:p w:rsidR="003F457C" w:rsidRDefault="003F457C">
      <w:pPr>
        <w:rPr>
          <w:rFonts w:ascii="Source Sans Pro" w:hAnsi="Source Sans Pro"/>
          <w:color w:val="585851"/>
        </w:rPr>
      </w:pPr>
    </w:p>
    <w:p w:rsidR="008E5E49" w:rsidRPr="008E5E49" w:rsidRDefault="008E5E49" w:rsidP="008E5E49">
      <w:pPr>
        <w:rPr>
          <w:u w:val="single"/>
        </w:rPr>
      </w:pPr>
      <w:r>
        <w:rPr>
          <w:u w:val="single"/>
        </w:rPr>
        <w:t>Bundesteilhabegesetz: Umsetzungsbegleitung und Umsetzungsstand</w:t>
      </w:r>
    </w:p>
    <w:p w:rsidR="008E5E49" w:rsidRDefault="008E5E49" w:rsidP="008E5E49">
      <w:r>
        <w:t xml:space="preserve">Zu Beginn der Veranstaltung wurden </w:t>
      </w:r>
      <w:r w:rsidR="00232F68">
        <w:t>die aktuellen Maßnahmen des Projekts Umsetzungsbegleitung BTHG</w:t>
      </w:r>
      <w:r w:rsidR="00CE31AC">
        <w:t>,</w:t>
      </w:r>
      <w:r w:rsidR="00232F68">
        <w:t xml:space="preserve"> der Umsetzungsstand des BTHG in den Bundesländern</w:t>
      </w:r>
      <w:r w:rsidR="00272600">
        <w:t>,</w:t>
      </w:r>
      <w:r w:rsidR="00CE31AC">
        <w:t xml:space="preserve"> wesentliche Inhalte des BTHG</w:t>
      </w:r>
      <w:r w:rsidR="00272600">
        <w:t xml:space="preserve"> und die Änderungsgesetze zum BTHG</w:t>
      </w:r>
      <w:r w:rsidR="00232F68">
        <w:t xml:space="preserve"> durch Dr. Florian Steinmüller, </w:t>
      </w:r>
      <w:proofErr w:type="spellStart"/>
      <w:r w:rsidR="00232F68">
        <w:t>stv</w:t>
      </w:r>
      <w:proofErr w:type="spellEnd"/>
      <w:r w:rsidR="00232F68">
        <w:t xml:space="preserve">. Leiter des </w:t>
      </w:r>
      <w:r>
        <w:t>Pr</w:t>
      </w:r>
      <w:r w:rsidR="00232F68">
        <w:t>ojekts Umsetzungsbegleitung BTHG,</w:t>
      </w:r>
      <w:r>
        <w:t> ausgeführt.</w:t>
      </w:r>
      <w:r w:rsidR="00C551A3">
        <w:t xml:space="preserve"> </w:t>
      </w:r>
    </w:p>
    <w:p w:rsidR="009E1F5C" w:rsidRDefault="009E1F5C"/>
    <w:p w:rsidR="00D05AB1" w:rsidRPr="00D05AB1" w:rsidRDefault="00D05AB1" w:rsidP="00D05AB1">
      <w:pPr>
        <w:rPr>
          <w:u w:val="single"/>
        </w:rPr>
      </w:pPr>
      <w:r w:rsidRPr="00D05AB1">
        <w:rPr>
          <w:u w:val="single"/>
        </w:rPr>
        <w:t xml:space="preserve">Begriffsklärung: Gesamt- und Teilhabeplanverfahren </w:t>
      </w:r>
    </w:p>
    <w:p w:rsidR="002215A9" w:rsidRDefault="00314643" w:rsidP="00D05AB1">
      <w:r>
        <w:t>Im weiteren Verlauf des ersten</w:t>
      </w:r>
      <w:r w:rsidR="00D05AB1">
        <w:t xml:space="preserve"> Veranstaltung</w:t>
      </w:r>
      <w:r>
        <w:t>stags stellte Thomas Schmitt-Schäfer, transfer,</w:t>
      </w:r>
      <w:r w:rsidR="00D05AB1">
        <w:t xml:space="preserve"> die rechtlichen Grundlagen und Neuregelungen der Bedarfsermittlung und Leistungspla</w:t>
      </w:r>
      <w:r>
        <w:t>nung nach dem BTHG</w:t>
      </w:r>
      <w:r w:rsidR="00D05AB1">
        <w:t xml:space="preserve"> vor.</w:t>
      </w:r>
      <w:r>
        <w:t xml:space="preserve"> Ein Schwerpunkt lag dabei auf der Abgrenzung zwischen Teilhabe- und Gesamtplanverfahren.</w:t>
      </w:r>
      <w:r w:rsidR="00CA766A">
        <w:t xml:space="preserve"> </w:t>
      </w:r>
    </w:p>
    <w:p w:rsidR="002215A9" w:rsidRPr="002215A9" w:rsidRDefault="002215A9" w:rsidP="00D05AB1">
      <w:pPr>
        <w:rPr>
          <w:i/>
        </w:rPr>
      </w:pPr>
      <w:r w:rsidRPr="002215A9">
        <w:rPr>
          <w:i/>
        </w:rPr>
        <w:t>Zuständigkeit für die Bedarfsermittlung, Leistungserbringer und Bestimmung der Vertrauensperson</w:t>
      </w:r>
    </w:p>
    <w:p w:rsidR="00D05AB1" w:rsidRDefault="00921222" w:rsidP="00D05AB1">
      <w:r>
        <w:t>Die Fragen der Teilnehmenden betrafen u.a. die</w:t>
      </w:r>
      <w:r w:rsidR="002432BA">
        <w:t xml:space="preserve"> Themen, wie die</w:t>
      </w:r>
      <w:r>
        <w:t xml:space="preserve"> zukünftige Einbindung der Leistungserbringer in der Bedarfsermittlung</w:t>
      </w:r>
      <w:r w:rsidR="002432BA">
        <w:t xml:space="preserve"> ausgestaltet wird</w:t>
      </w:r>
      <w:r>
        <w:t xml:space="preserve"> und </w:t>
      </w:r>
      <w:r w:rsidR="002432BA">
        <w:t xml:space="preserve">wer </w:t>
      </w:r>
      <w:r>
        <w:t>die Bestimmung der Vertrauensperson</w:t>
      </w:r>
      <w:r w:rsidR="002432BA">
        <w:t xml:space="preserve"> vornimmt</w:t>
      </w:r>
      <w:r>
        <w:t>.</w:t>
      </w:r>
      <w:r w:rsidR="00EE4A22">
        <w:t xml:space="preserve"> </w:t>
      </w:r>
      <w:r w:rsidR="00113C9F">
        <w:t>Der Referent führte hierzu aus, dass die Verantwortung der Bedarfsermittlung laut BTHG bei den Leistungsträgern liegt und Leistungserbringer als Vertrauensperson in das Gesamtplanverfahren einbezogen werden sowie dass die Bestimmung der Vertrauensperson durch die leistungsberechtigte Person oder deren rechtlichen Betreuer/innen erfolgt.</w:t>
      </w:r>
    </w:p>
    <w:p w:rsidR="00D05AB1" w:rsidRPr="00092771" w:rsidRDefault="00092771" w:rsidP="00D05AB1">
      <w:pPr>
        <w:rPr>
          <w:i/>
        </w:rPr>
      </w:pPr>
      <w:r w:rsidRPr="00092771">
        <w:rPr>
          <w:i/>
        </w:rPr>
        <w:t>Ist mit dem Bedarfsermittlungsinstrument zugleich der Gesamtplan erstellt?</w:t>
      </w:r>
    </w:p>
    <w:p w:rsidR="00092771" w:rsidRDefault="00A844BA" w:rsidP="00D05AB1">
      <w:r>
        <w:t>Eine weitere Frage betraf die Abgrenzung zwischen Bedarfsermittlungsinstrument und Gesamtplan. So sei die aktuelle Ausgestaltung in einem Bundesland so, dass der Gesamtplan als Anlage des Bedarfsermittlungsinstrument</w:t>
      </w:r>
      <w:r w:rsidR="00433BE0">
        <w:t xml:space="preserve">s ausgefüllt wird. Die Referenten wiesen darauf hin, dass </w:t>
      </w:r>
      <w:r w:rsidR="005F095C">
        <w:t>Bedarfsermittlungsinstrument und Gesamtplan ni</w:t>
      </w:r>
      <w:r w:rsidR="00FE4AF9">
        <w:t xml:space="preserve">cht identisch sind, sondern </w:t>
      </w:r>
      <w:r w:rsidR="005F095C">
        <w:t xml:space="preserve">vielmehr unterschiedliche Etappen des Gesamtplanverfahrens darstellen, wobei die Bedarfsermittlung, neben der Beratung, den ersten Schritt des Gesamtplanverfahrens </w:t>
      </w:r>
      <w:r w:rsidR="00593AAD">
        <w:t>darstellt</w:t>
      </w:r>
      <w:r w:rsidR="005F095C">
        <w:t>.</w:t>
      </w:r>
      <w:r w:rsidR="003962E8">
        <w:t xml:space="preserve"> </w:t>
      </w:r>
      <w:r w:rsidR="00F94497" w:rsidRPr="00F94497">
        <w:t>Der Gesamtplan dient</w:t>
      </w:r>
      <w:r w:rsidR="00F94497">
        <w:t xml:space="preserve"> hingegen laut Gesetz</w:t>
      </w:r>
      <w:r w:rsidR="00F94497" w:rsidRPr="00F94497">
        <w:t xml:space="preserve"> der Steuerung, Wirkungskontrolle und Dokumentation des</w:t>
      </w:r>
      <w:r w:rsidR="00F94497">
        <w:t xml:space="preserve"> gesamten</w:t>
      </w:r>
      <w:r w:rsidR="00F94497" w:rsidRPr="00F94497">
        <w:t xml:space="preserve"> Teilhabeprozesses</w:t>
      </w:r>
      <w:r w:rsidR="00F94497">
        <w:t>.</w:t>
      </w:r>
      <w:r w:rsidR="007D45D9">
        <w:t xml:space="preserve"> </w:t>
      </w:r>
      <w:r w:rsidR="003962E8">
        <w:t>Das BTHG schreibe dabei</w:t>
      </w:r>
      <w:r w:rsidR="002F6697">
        <w:t xml:space="preserve"> gemäß § 121 Abs. 4</w:t>
      </w:r>
      <w:r w:rsidR="003962E8">
        <w:t xml:space="preserve"> genau vor, welche Inhalte der Gesamtplan umfassen muss.</w:t>
      </w:r>
    </w:p>
    <w:p w:rsidR="00334439" w:rsidRPr="00F80E46" w:rsidRDefault="00F80E46">
      <w:pPr>
        <w:rPr>
          <w:u w:val="single"/>
        </w:rPr>
      </w:pPr>
      <w:r w:rsidRPr="00F80E46">
        <w:rPr>
          <w:u w:val="single"/>
        </w:rPr>
        <w:lastRenderedPageBreak/>
        <w:t>Grundlagen der ICF und der Bedarfsermittlung</w:t>
      </w:r>
    </w:p>
    <w:p w:rsidR="001E23C5" w:rsidRDefault="00334439">
      <w:r>
        <w:t xml:space="preserve">Im Mittelpunkt des zweiten Veranstaltungstags stand die Bedarfsermittlung anhand der ICF auf Grundlage konkreter Fälle, die </w:t>
      </w:r>
      <w:r w:rsidR="00463E04">
        <w:t xml:space="preserve">im Vorfeld der Veranstaltung anonymisiert durch die Teilnehmenden eingebracht wurden. </w:t>
      </w:r>
      <w:r w:rsidR="001E23C5">
        <w:t>Die einzelnen Elemente der ICF und der Bedarfse</w:t>
      </w:r>
      <w:r w:rsidR="00D95D53">
        <w:t>rmittlung wurden jeweils beispielhaft anhand der Bedarfsermittlungsinstrumente aus Baden-Württemberg (BEI_BW) und Thüringen (ITP Thüringen) vorgestellt.</w:t>
      </w:r>
    </w:p>
    <w:p w:rsidR="00334439" w:rsidRDefault="00463E04">
      <w:r>
        <w:t>Folgende Fälle wurden bearbeitet:</w:t>
      </w:r>
    </w:p>
    <w:p w:rsidR="00463E04" w:rsidRDefault="00463E04" w:rsidP="00463E04">
      <w:pPr>
        <w:pStyle w:val="Listenabsatz"/>
        <w:numPr>
          <w:ilvl w:val="0"/>
          <w:numId w:val="1"/>
        </w:numPr>
      </w:pPr>
      <w:r>
        <w:t>Fall 1: Herr H., Trisomie 21, HEB-Bögen liegen vor</w:t>
      </w:r>
    </w:p>
    <w:p w:rsidR="00463E04" w:rsidRDefault="00463E04" w:rsidP="00463E04">
      <w:pPr>
        <w:pStyle w:val="Listenabsatz"/>
        <w:numPr>
          <w:ilvl w:val="0"/>
          <w:numId w:val="1"/>
        </w:numPr>
      </w:pPr>
      <w:r>
        <w:t>Fall 2: Herr X., Pflegegrad 3, verschiedene körperliche Beeinträchtigungen, Depression</w:t>
      </w:r>
    </w:p>
    <w:p w:rsidR="00463E04" w:rsidRDefault="00463E04" w:rsidP="00463E04">
      <w:pPr>
        <w:pStyle w:val="Listenabsatz"/>
        <w:numPr>
          <w:ilvl w:val="0"/>
          <w:numId w:val="1"/>
        </w:numPr>
      </w:pPr>
      <w:r>
        <w:t>Fall 3: Frau S., fragiles X-Syndrom, wohnt in therapeutischer Wohngruppe, spricht 2-4 Sätze</w:t>
      </w:r>
    </w:p>
    <w:p w:rsidR="00463E04" w:rsidRDefault="00463E04" w:rsidP="00463E04">
      <w:pPr>
        <w:pStyle w:val="Listenabsatz"/>
        <w:numPr>
          <w:ilvl w:val="0"/>
          <w:numId w:val="1"/>
        </w:numPr>
      </w:pPr>
      <w:r>
        <w:t xml:space="preserve">Fall 4: Kind 1, </w:t>
      </w:r>
      <w:proofErr w:type="spellStart"/>
      <w:r>
        <w:t>ektodermaler</w:t>
      </w:r>
      <w:proofErr w:type="spellEnd"/>
      <w:r>
        <w:t xml:space="preserve"> Dysplasie, zwischen 5 und 7 Jahren alt </w:t>
      </w:r>
    </w:p>
    <w:p w:rsidR="00463E04" w:rsidRDefault="00463E04" w:rsidP="00463E04">
      <w:pPr>
        <w:pStyle w:val="Listenabsatz"/>
        <w:numPr>
          <w:ilvl w:val="0"/>
          <w:numId w:val="1"/>
        </w:numPr>
      </w:pPr>
      <w:r>
        <w:t xml:space="preserve">Fall 5: Kind 2, </w:t>
      </w:r>
      <w:r w:rsidR="008A0A94">
        <w:t>14 Jahre, bestehende Psychose, aktuell in Kinder- und Jugendpsychiatrie</w:t>
      </w:r>
    </w:p>
    <w:p w:rsidR="00611767" w:rsidRPr="00611767" w:rsidRDefault="00611767" w:rsidP="009C1080">
      <w:pPr>
        <w:rPr>
          <w:i/>
        </w:rPr>
      </w:pPr>
      <w:r w:rsidRPr="00611767">
        <w:rPr>
          <w:i/>
        </w:rPr>
        <w:t>Wünsche und Ziele der leistungsberechtigten Person</w:t>
      </w:r>
    </w:p>
    <w:p w:rsidR="009C1080" w:rsidRDefault="009C1080" w:rsidP="009C1080">
      <w:r>
        <w:t xml:space="preserve">Zu Beginn des zweiten Veranstaltungstags referierte Frau </w:t>
      </w:r>
      <w:proofErr w:type="spellStart"/>
      <w:r>
        <w:t>Keßler</w:t>
      </w:r>
      <w:proofErr w:type="spellEnd"/>
      <w:r>
        <w:t xml:space="preserve"> </w:t>
      </w:r>
      <w:r w:rsidR="00F61A4D">
        <w:t>zunächst zu begrifflichen und gesetzlichen Grundlagen von Zielen</w:t>
      </w:r>
      <w:r w:rsidR="009B4048">
        <w:t xml:space="preserve">. </w:t>
      </w:r>
      <w:r w:rsidR="001521CF">
        <w:t>Eine Diskussion gab es dazu, wie Ziele von Wünschen differenziert werden und wer die Entscheidung trifft, welche Wünsche der leistungsberechtigten Person mit konkreten Zielen hinterlegt und durch Eingliederungshilfeleistungen verfolgt werden.</w:t>
      </w:r>
      <w:r w:rsidR="00B909A4">
        <w:t xml:space="preserve"> Konkret kam die Frage auf, ob bei einem Auszug aus einer besonderen Wohnform jede leistungsberechtigte Person Anspruch auf eine 24-Stunden-Assistenz hat.</w:t>
      </w:r>
      <w:r w:rsidR="00C96427">
        <w:t xml:space="preserve"> Die Referenten wiesen darauf hin, dass die entsprechende Entscheidung beim Träger der Eingliederungshilfe liegt</w:t>
      </w:r>
      <w:r w:rsidR="00345FC7">
        <w:t xml:space="preserve">, </w:t>
      </w:r>
      <w:r w:rsidR="006218CE">
        <w:t>wobei</w:t>
      </w:r>
      <w:r w:rsidR="00345FC7">
        <w:t xml:space="preserve"> gemäß § 104 SGB IX n.F. </w:t>
      </w:r>
      <w:r w:rsidR="006218CE">
        <w:t xml:space="preserve">den </w:t>
      </w:r>
      <w:r w:rsidR="006218CE" w:rsidRPr="006218CE">
        <w:t>Wünschen der Leistungsberechtigten, die sich auf die Gesta</w:t>
      </w:r>
      <w:r w:rsidR="006218CE">
        <w:t xml:space="preserve">ltung der Leistung richten, </w:t>
      </w:r>
      <w:r w:rsidR="006218CE" w:rsidRPr="006218CE">
        <w:t>zu entsprechen</w:t>
      </w:r>
      <w:r w:rsidR="006218CE">
        <w:t xml:space="preserve"> ist</w:t>
      </w:r>
      <w:r w:rsidR="006218CE" w:rsidRPr="006218CE">
        <w:t>, soweit sie angemessen sind</w:t>
      </w:r>
      <w:r w:rsidR="006218CE">
        <w:t>.</w:t>
      </w:r>
      <w:r w:rsidR="007C0262">
        <w:t xml:space="preserve"> Maßgeblich ist zudem, dass die Ziele entsprechend des individuellen Bedarfs der leistungsberechtigten Person der Selbstbestimmung und Teilhabe dient.</w:t>
      </w:r>
      <w:r w:rsidR="007F0BC2">
        <w:t xml:space="preserve"> Aus dem Publikum wurde ergänzt, dass es wichtig sei zu </w:t>
      </w:r>
      <w:r w:rsidR="003F6B53">
        <w:t>beachten</w:t>
      </w:r>
      <w:r w:rsidR="007F0BC2">
        <w:t>, welchen konkreten Hintergrund der Wunsch der leistungsberechtigten Person hat</w:t>
      </w:r>
      <w:r w:rsidR="003F6B53">
        <w:t>,</w:t>
      </w:r>
      <w:r w:rsidR="007F0BC2">
        <w:t xml:space="preserve"> um herauszufinden, welches Ziel und welche Maßnahme hierfür passend wären.</w:t>
      </w:r>
      <w:r w:rsidR="001C13F6">
        <w:t xml:space="preserve"> </w:t>
      </w:r>
    </w:p>
    <w:p w:rsidR="006218CE" w:rsidRDefault="005C5179" w:rsidP="009C1080">
      <w:r>
        <w:t>In einer ersten Arbeitsgruppenphase ermittelten die Teilnehmenden die Leitziele der leistungsberechtigten Person des jeweiligen Fallbeispiels und führten einen Abgleich zur derzeitigen Situation durch.</w:t>
      </w:r>
    </w:p>
    <w:p w:rsidR="00FD43FB" w:rsidRPr="005C5179" w:rsidRDefault="005C5179" w:rsidP="0057327A">
      <w:pPr>
        <w:rPr>
          <w:i/>
        </w:rPr>
      </w:pPr>
      <w:r w:rsidRPr="005C5179">
        <w:rPr>
          <w:i/>
        </w:rPr>
        <w:t>Einführung in die ICF und deren Komponenten</w:t>
      </w:r>
      <w:r w:rsidR="008F2971">
        <w:rPr>
          <w:i/>
        </w:rPr>
        <w:t xml:space="preserve"> Körperfunktionen und -strukturen, </w:t>
      </w:r>
      <w:r w:rsidR="00D63BF0">
        <w:rPr>
          <w:i/>
        </w:rPr>
        <w:t>Aktivitäten und Teilhabe sowie</w:t>
      </w:r>
      <w:r w:rsidR="008F2971">
        <w:rPr>
          <w:i/>
        </w:rPr>
        <w:t xml:space="preserve"> Kontextfaktoren</w:t>
      </w:r>
    </w:p>
    <w:p w:rsidR="005C5179" w:rsidRDefault="005C5179" w:rsidP="005C5179">
      <w:r>
        <w:t>Im weiteren Verlauf des zweiten Veranstaltungstags w</w:t>
      </w:r>
      <w:r w:rsidR="00C40E66">
        <w:t>urde die ICF und deren einzelne</w:t>
      </w:r>
      <w:r>
        <w:t xml:space="preserve"> Komponenten vorgestellt. Herr Schmitt-Schäfer ging zunächst auf die Unterschiede zwischen ICD und ICF sowie zwischen ICF und ICF-CY (ICF-Version für Kinder und Jugendliche) ein, bevor er die Logik des bio-psycho-sozialen Modells der ICF sowie der einzelnen Items erläuterte. Im Anschluss daran führte er zur ICF-Komponente der Körperfunktionen und -strukturen aus. In der zweiten Arbeitsgruppenphase wählten die Teilnehmenden für ihr Fallbeispiel zwei für die Person relevant erscheinende Kapitel der Körperfunktionen aus und bearbeiteten diese.</w:t>
      </w:r>
      <w:r w:rsidR="00436F9E">
        <w:t xml:space="preserve"> Am Nachmittag des zweiten Veranstaltungstags folgte zudem die Vorstellung der ICF-Komponenten Aktivitäten und Kontextfaktoren, zu denen jeweils eine weitere Arbeitsgruppenphase stattfand.</w:t>
      </w:r>
    </w:p>
    <w:p w:rsidR="005C5179" w:rsidRDefault="00646B5A" w:rsidP="005C5179">
      <w:r>
        <w:t>Zu Beginn des dritten Veranstaltungstags wurde die ICF-Komponente der Teilhabe sowie Teilhabeziele vorgestellt und in den Arbeitsgruppen bearbeitet. Eine Diskussion unter den Teilnehmenden fand dahingehen</w:t>
      </w:r>
      <w:r w:rsidR="00C40E66">
        <w:t>d</w:t>
      </w:r>
      <w:r>
        <w:t xml:space="preserve"> statt, </w:t>
      </w:r>
      <w:r w:rsidR="005C2F8E">
        <w:t>woran man Teilhabe erkennt un</w:t>
      </w:r>
      <w:r w:rsidR="00444357">
        <w:t>d wie man mit Ziele</w:t>
      </w:r>
      <w:r w:rsidR="00F37848">
        <w:t>n der leistungsberechtigten Person,</w:t>
      </w:r>
      <w:r w:rsidR="00444357">
        <w:t xml:space="preserve"> wie etwa Alkoholkonsum</w:t>
      </w:r>
      <w:r w:rsidR="00F37848">
        <w:t>,</w:t>
      </w:r>
      <w:r w:rsidR="00444357">
        <w:t xml:space="preserve"> umgeht</w:t>
      </w:r>
      <w:r w:rsidR="005C2F8E">
        <w:t>.</w:t>
      </w:r>
      <w:r w:rsidR="00444357">
        <w:t xml:space="preserve"> </w:t>
      </w:r>
    </w:p>
    <w:p w:rsidR="0057327A" w:rsidRPr="00C75760" w:rsidRDefault="007C4FCC" w:rsidP="00912F53">
      <w:pPr>
        <w:rPr>
          <w:u w:val="single"/>
        </w:rPr>
      </w:pPr>
      <w:r w:rsidRPr="00C75760">
        <w:rPr>
          <w:u w:val="single"/>
        </w:rPr>
        <w:lastRenderedPageBreak/>
        <w:t>Das neue Leistungsrecht der Eingliederungshilfe</w:t>
      </w:r>
    </w:p>
    <w:p w:rsidR="007C4FCC" w:rsidRDefault="007C4FCC" w:rsidP="00912F53">
      <w:r>
        <w:t xml:space="preserve">Zum Abschluss der Veranstaltung ging Herr Schmitt-Schäfer auf das neue Leistungsrecht der </w:t>
      </w:r>
      <w:bookmarkStart w:id="0" w:name="_GoBack"/>
      <w:bookmarkEnd w:id="0"/>
      <w:r>
        <w:t>Eingliederungshilfe und die verschiedenen Leistungsgruppen und Schnittstellenprobleme ein.</w:t>
      </w:r>
    </w:p>
    <w:p w:rsidR="006218CE" w:rsidRDefault="006218CE" w:rsidP="009C1080"/>
    <w:p w:rsidR="006218CE" w:rsidRDefault="006218CE" w:rsidP="009C1080"/>
    <w:p w:rsidR="006218CE" w:rsidRDefault="006218CE" w:rsidP="009C1080"/>
    <w:p w:rsidR="006C6C2D" w:rsidRDefault="006C6C2D"/>
    <w:sectPr w:rsidR="006C6C2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Corbel"/>
    <w:charset w:val="00"/>
    <w:family w:val="swiss"/>
    <w:pitch w:val="variable"/>
    <w:sig w:usb0="00000001"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6801F0"/>
    <w:multiLevelType w:val="hybridMultilevel"/>
    <w:tmpl w:val="947AADC0"/>
    <w:lvl w:ilvl="0" w:tplc="CAA4A1BE">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54D"/>
    <w:rsid w:val="00092771"/>
    <w:rsid w:val="000D162E"/>
    <w:rsid w:val="00113C9F"/>
    <w:rsid w:val="001521CF"/>
    <w:rsid w:val="00166BBF"/>
    <w:rsid w:val="001C13F6"/>
    <w:rsid w:val="001E23C5"/>
    <w:rsid w:val="002215A9"/>
    <w:rsid w:val="00232F68"/>
    <w:rsid w:val="002432BA"/>
    <w:rsid w:val="00272600"/>
    <w:rsid w:val="002B755C"/>
    <w:rsid w:val="002F6697"/>
    <w:rsid w:val="00307E32"/>
    <w:rsid w:val="00314643"/>
    <w:rsid w:val="00334439"/>
    <w:rsid w:val="003363F2"/>
    <w:rsid w:val="00343D6C"/>
    <w:rsid w:val="00345FC7"/>
    <w:rsid w:val="003962E8"/>
    <w:rsid w:val="003F457C"/>
    <w:rsid w:val="003F469A"/>
    <w:rsid w:val="003F6B53"/>
    <w:rsid w:val="00433BE0"/>
    <w:rsid w:val="00436F9E"/>
    <w:rsid w:val="00444357"/>
    <w:rsid w:val="00463E04"/>
    <w:rsid w:val="004B03CD"/>
    <w:rsid w:val="004E3180"/>
    <w:rsid w:val="00512CC6"/>
    <w:rsid w:val="0057327A"/>
    <w:rsid w:val="00593AAD"/>
    <w:rsid w:val="005A3AE0"/>
    <w:rsid w:val="005C13CD"/>
    <w:rsid w:val="005C2F8E"/>
    <w:rsid w:val="005C5179"/>
    <w:rsid w:val="005F095C"/>
    <w:rsid w:val="00611767"/>
    <w:rsid w:val="0061792A"/>
    <w:rsid w:val="006218CE"/>
    <w:rsid w:val="00646B5A"/>
    <w:rsid w:val="006C6C2D"/>
    <w:rsid w:val="007810C8"/>
    <w:rsid w:val="007C0262"/>
    <w:rsid w:val="007C4FCC"/>
    <w:rsid w:val="007D45D9"/>
    <w:rsid w:val="007F0BC2"/>
    <w:rsid w:val="008441D2"/>
    <w:rsid w:val="008A0A94"/>
    <w:rsid w:val="008E5E49"/>
    <w:rsid w:val="008F2971"/>
    <w:rsid w:val="00912F53"/>
    <w:rsid w:val="00921222"/>
    <w:rsid w:val="00964A20"/>
    <w:rsid w:val="00974ADF"/>
    <w:rsid w:val="00993082"/>
    <w:rsid w:val="009A2710"/>
    <w:rsid w:val="009B4048"/>
    <w:rsid w:val="009B7276"/>
    <w:rsid w:val="009C1080"/>
    <w:rsid w:val="009E1F5C"/>
    <w:rsid w:val="00A10818"/>
    <w:rsid w:val="00A74476"/>
    <w:rsid w:val="00A844BA"/>
    <w:rsid w:val="00AC2713"/>
    <w:rsid w:val="00AF13EB"/>
    <w:rsid w:val="00B909A4"/>
    <w:rsid w:val="00BC3109"/>
    <w:rsid w:val="00BD556E"/>
    <w:rsid w:val="00BF154D"/>
    <w:rsid w:val="00C40E66"/>
    <w:rsid w:val="00C551A3"/>
    <w:rsid w:val="00C75760"/>
    <w:rsid w:val="00C96427"/>
    <w:rsid w:val="00CA766A"/>
    <w:rsid w:val="00CE31AC"/>
    <w:rsid w:val="00D05AB1"/>
    <w:rsid w:val="00D63BF0"/>
    <w:rsid w:val="00D95D53"/>
    <w:rsid w:val="00DF08E6"/>
    <w:rsid w:val="00E51ABE"/>
    <w:rsid w:val="00E7762B"/>
    <w:rsid w:val="00EE4A22"/>
    <w:rsid w:val="00F37848"/>
    <w:rsid w:val="00F61A4D"/>
    <w:rsid w:val="00F80E46"/>
    <w:rsid w:val="00F94497"/>
    <w:rsid w:val="00FD43FB"/>
    <w:rsid w:val="00FE4A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CDC09"/>
  <w15:chartTrackingRefBased/>
  <w15:docId w15:val="{48852703-EAAE-4203-BC29-63BF8FAF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63E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741269">
      <w:bodyDiv w:val="1"/>
      <w:marLeft w:val="0"/>
      <w:marRight w:val="0"/>
      <w:marTop w:val="0"/>
      <w:marBottom w:val="0"/>
      <w:divBdr>
        <w:top w:val="none" w:sz="0" w:space="0" w:color="auto"/>
        <w:left w:val="none" w:sz="0" w:space="0" w:color="auto"/>
        <w:bottom w:val="none" w:sz="0" w:space="0" w:color="auto"/>
        <w:right w:val="none" w:sz="0" w:space="0" w:color="auto"/>
      </w:divBdr>
      <w:divsChild>
        <w:div w:id="1729720670">
          <w:marLeft w:val="0"/>
          <w:marRight w:val="0"/>
          <w:marTop w:val="0"/>
          <w:marBottom w:val="0"/>
          <w:divBdr>
            <w:top w:val="none" w:sz="0" w:space="0" w:color="auto"/>
            <w:left w:val="none" w:sz="0" w:space="0" w:color="auto"/>
            <w:bottom w:val="none" w:sz="0" w:space="0" w:color="auto"/>
            <w:right w:val="none" w:sz="0" w:space="0" w:color="auto"/>
          </w:divBdr>
          <w:divsChild>
            <w:div w:id="220991875">
              <w:marLeft w:val="0"/>
              <w:marRight w:val="0"/>
              <w:marTop w:val="0"/>
              <w:marBottom w:val="0"/>
              <w:divBdr>
                <w:top w:val="none" w:sz="0" w:space="0" w:color="auto"/>
                <w:left w:val="none" w:sz="0" w:space="0" w:color="auto"/>
                <w:bottom w:val="none" w:sz="0" w:space="0" w:color="auto"/>
                <w:right w:val="none" w:sz="0" w:space="0" w:color="auto"/>
              </w:divBdr>
              <w:divsChild>
                <w:div w:id="1572544421">
                  <w:marLeft w:val="0"/>
                  <w:marRight w:val="0"/>
                  <w:marTop w:val="0"/>
                  <w:marBottom w:val="0"/>
                  <w:divBdr>
                    <w:top w:val="none" w:sz="0" w:space="0" w:color="auto"/>
                    <w:left w:val="none" w:sz="0" w:space="0" w:color="auto"/>
                    <w:bottom w:val="none" w:sz="0" w:space="0" w:color="auto"/>
                    <w:right w:val="none" w:sz="0" w:space="0" w:color="auto"/>
                  </w:divBdr>
                  <w:divsChild>
                    <w:div w:id="45286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339753">
      <w:bodyDiv w:val="1"/>
      <w:marLeft w:val="0"/>
      <w:marRight w:val="0"/>
      <w:marTop w:val="0"/>
      <w:marBottom w:val="0"/>
      <w:divBdr>
        <w:top w:val="none" w:sz="0" w:space="0" w:color="auto"/>
        <w:left w:val="none" w:sz="0" w:space="0" w:color="auto"/>
        <w:bottom w:val="none" w:sz="0" w:space="0" w:color="auto"/>
        <w:right w:val="none" w:sz="0" w:space="0" w:color="auto"/>
      </w:divBdr>
      <w:divsChild>
        <w:div w:id="1857111532">
          <w:marLeft w:val="0"/>
          <w:marRight w:val="0"/>
          <w:marTop w:val="0"/>
          <w:marBottom w:val="0"/>
          <w:divBdr>
            <w:top w:val="none" w:sz="0" w:space="0" w:color="auto"/>
            <w:left w:val="none" w:sz="0" w:space="0" w:color="auto"/>
            <w:bottom w:val="none" w:sz="0" w:space="0" w:color="auto"/>
            <w:right w:val="none" w:sz="0" w:space="0" w:color="auto"/>
          </w:divBdr>
          <w:divsChild>
            <w:div w:id="646738191">
              <w:marLeft w:val="0"/>
              <w:marRight w:val="0"/>
              <w:marTop w:val="0"/>
              <w:marBottom w:val="0"/>
              <w:divBdr>
                <w:top w:val="none" w:sz="0" w:space="0" w:color="auto"/>
                <w:left w:val="none" w:sz="0" w:space="0" w:color="auto"/>
                <w:bottom w:val="none" w:sz="0" w:space="0" w:color="auto"/>
                <w:right w:val="none" w:sz="0" w:space="0" w:color="auto"/>
              </w:divBdr>
              <w:divsChild>
                <w:div w:id="639000640">
                  <w:marLeft w:val="0"/>
                  <w:marRight w:val="0"/>
                  <w:marTop w:val="0"/>
                  <w:marBottom w:val="0"/>
                  <w:divBdr>
                    <w:top w:val="none" w:sz="0" w:space="0" w:color="auto"/>
                    <w:left w:val="none" w:sz="0" w:space="0" w:color="auto"/>
                    <w:bottom w:val="none" w:sz="0" w:space="0" w:color="auto"/>
                    <w:right w:val="none" w:sz="0" w:space="0" w:color="auto"/>
                  </w:divBdr>
                  <w:divsChild>
                    <w:div w:id="9701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5859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DV</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Steinmüller, Florian</dc:creator>
  <cp:keywords/>
  <dc:description/>
  <cp:lastModifiedBy>von Rohden, Yola</cp:lastModifiedBy>
  <cp:revision>148</cp:revision>
  <dcterms:created xsi:type="dcterms:W3CDTF">2019-06-27T08:50:00Z</dcterms:created>
  <dcterms:modified xsi:type="dcterms:W3CDTF">2019-07-03T11:05:00Z</dcterms:modified>
</cp:coreProperties>
</file>